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7E" w:rsidRDefault="0011627E" w:rsidP="003C3B2B">
      <w:pPr>
        <w:pStyle w:val="libCenterTitr"/>
      </w:pPr>
    </w:p>
    <w:p w:rsidR="0011627E" w:rsidRDefault="0011627E" w:rsidP="003C3B2B">
      <w:pPr>
        <w:pStyle w:val="libCenterTitr"/>
      </w:pPr>
    </w:p>
    <w:p w:rsidR="0011627E" w:rsidRDefault="0011627E" w:rsidP="003C3B2B">
      <w:pPr>
        <w:pStyle w:val="libCenterTitr"/>
      </w:pPr>
    </w:p>
    <w:p w:rsidR="0011627E" w:rsidRDefault="0011627E" w:rsidP="003C3B2B">
      <w:pPr>
        <w:pStyle w:val="libCenterTitr"/>
      </w:pPr>
    </w:p>
    <w:p w:rsidR="00AA4694" w:rsidRDefault="00AA4694" w:rsidP="003C3B2B">
      <w:pPr>
        <w:pStyle w:val="libCenterTitr"/>
      </w:pPr>
      <w:r>
        <w:t>Sects of Islam</w:t>
      </w:r>
    </w:p>
    <w:p w:rsidR="0011627E" w:rsidRDefault="0011627E" w:rsidP="003C3B2B">
      <w:pPr>
        <w:pStyle w:val="libCenterBold1"/>
      </w:pPr>
    </w:p>
    <w:p w:rsidR="00AA4694" w:rsidRDefault="00AA4694" w:rsidP="003C3B2B">
      <w:pPr>
        <w:pStyle w:val="libCenterBold1"/>
      </w:pPr>
      <w:r>
        <w:t>Author(s): Allamah Sayyid Sa'eed Akhtar Rizvi</w:t>
      </w:r>
    </w:p>
    <w:p w:rsidR="0011627E" w:rsidRDefault="0011627E" w:rsidP="003C3B2B">
      <w:pPr>
        <w:pStyle w:val="libCenterBold1"/>
      </w:pPr>
    </w:p>
    <w:p w:rsidR="00AA4694" w:rsidRDefault="00AA4694" w:rsidP="003C3B2B">
      <w:pPr>
        <w:pStyle w:val="libCenterBold1"/>
      </w:pPr>
      <w:r>
        <w:t>Publisher(s): World Organization for Islamic Services (WOFIS)</w:t>
      </w:r>
    </w:p>
    <w:p w:rsidR="0011627E" w:rsidRDefault="0011627E" w:rsidP="003C3B2B">
      <w:pPr>
        <w:pStyle w:val="libCenterBold1"/>
      </w:pPr>
    </w:p>
    <w:p w:rsidR="0011627E" w:rsidRDefault="0011627E" w:rsidP="003C3B2B">
      <w:pPr>
        <w:pStyle w:val="libCenterBold1"/>
      </w:pPr>
    </w:p>
    <w:p w:rsidR="0011627E" w:rsidRDefault="0011627E" w:rsidP="003C3B2B">
      <w:pPr>
        <w:pStyle w:val="libCenterBold1"/>
      </w:pPr>
    </w:p>
    <w:p w:rsidR="0011627E" w:rsidRDefault="0011627E" w:rsidP="003C3B2B">
      <w:pPr>
        <w:pStyle w:val="libCenterBold1"/>
      </w:pPr>
    </w:p>
    <w:p w:rsidR="0011627E" w:rsidRDefault="0011627E" w:rsidP="003C3B2B">
      <w:pPr>
        <w:pStyle w:val="libCenterBold1"/>
      </w:pPr>
    </w:p>
    <w:p w:rsidR="0011627E" w:rsidRDefault="0011627E" w:rsidP="003C3B2B">
      <w:pPr>
        <w:pStyle w:val="libCenterBold1"/>
      </w:pPr>
    </w:p>
    <w:p w:rsidR="0011627E" w:rsidRDefault="0011627E" w:rsidP="003C3B2B">
      <w:pPr>
        <w:pStyle w:val="libCenterBold1"/>
      </w:pPr>
      <w:hyperlink r:id="rId8" w:history="1">
        <w:r w:rsidRPr="00AE0A1C">
          <w:rPr>
            <w:rStyle w:val="Hyperlink"/>
          </w:rPr>
          <w:t>www.alhassanain.org/english</w:t>
        </w:r>
      </w:hyperlink>
    </w:p>
    <w:p w:rsidR="004724AA" w:rsidRDefault="004724AA" w:rsidP="004724AA">
      <w:pPr>
        <w:pStyle w:val="libNormal"/>
      </w:pPr>
      <w:r>
        <w:br w:type="page"/>
      </w:r>
    </w:p>
    <w:p w:rsidR="004724AA" w:rsidRDefault="004724AA" w:rsidP="004724AA">
      <w:pPr>
        <w:pStyle w:val="libCenterBold1"/>
      </w:pPr>
    </w:p>
    <w:p w:rsidR="004724AA" w:rsidRDefault="004724AA" w:rsidP="004724AA">
      <w:pPr>
        <w:pStyle w:val="libCenterBold1"/>
      </w:pPr>
    </w:p>
    <w:p w:rsidR="004724AA" w:rsidRDefault="004724AA" w:rsidP="004724AA">
      <w:pPr>
        <w:pStyle w:val="libCenterBold1"/>
      </w:pPr>
    </w:p>
    <w:p w:rsidR="004724AA" w:rsidRDefault="004724AA" w:rsidP="004724AA">
      <w:pPr>
        <w:pStyle w:val="libCenterBold1"/>
      </w:pPr>
    </w:p>
    <w:p w:rsidR="004724AA" w:rsidRDefault="004724AA" w:rsidP="004724AA">
      <w:pPr>
        <w:pStyle w:val="libCenterBold1"/>
      </w:pPr>
      <w:r>
        <w:t>Notice:</w:t>
      </w:r>
    </w:p>
    <w:p w:rsidR="004724AA" w:rsidRDefault="004724AA" w:rsidP="004724AA">
      <w:pPr>
        <w:pStyle w:val="libCenterBold2"/>
      </w:pPr>
      <w:r>
        <w:t xml:space="preserve">Thiswork is published on behalf of </w:t>
      </w:r>
      <w:hyperlink r:id="rId9" w:history="1">
        <w:r w:rsidRPr="00AE0A1C">
          <w:rPr>
            <w:rStyle w:val="Hyperlink"/>
          </w:rPr>
          <w:t>www.alhassanain.org/english</w:t>
        </w:r>
      </w:hyperlink>
    </w:p>
    <w:p w:rsidR="004724AA" w:rsidRDefault="004724AA" w:rsidP="004724AA">
      <w:pPr>
        <w:pStyle w:val="libCenterBold2"/>
      </w:pPr>
      <w:r>
        <w:t>The typing errors are</w:t>
      </w:r>
      <w:r>
        <w:t xml:space="preserve"> </w:t>
      </w:r>
      <w:r>
        <w:t>n’t corrected.</w:t>
      </w:r>
    </w:p>
    <w:p w:rsidR="004724AA" w:rsidRDefault="004724AA" w:rsidP="004724AA">
      <w:pPr>
        <w:pStyle w:val="libNormal"/>
      </w:pPr>
      <w:r>
        <w:br w:type="page"/>
      </w:r>
    </w:p>
    <w:sdt>
      <w:sdtPr>
        <w:id w:val="86477033"/>
        <w:docPartObj>
          <w:docPartGallery w:val="Table of Contents"/>
          <w:docPartUnique/>
        </w:docPartObj>
      </w:sdtPr>
      <w:sdtEndPr>
        <w:rPr>
          <w:b w:val="0"/>
          <w:bCs w:val="0"/>
        </w:rPr>
      </w:sdtEndPr>
      <w:sdtContent>
        <w:p w:rsidR="0046001C" w:rsidRDefault="0046001C" w:rsidP="0046001C">
          <w:pPr>
            <w:pStyle w:val="libCenterBold1"/>
          </w:pPr>
          <w:r>
            <w:t>Table of Contents</w:t>
          </w:r>
        </w:p>
        <w:p w:rsidR="0046001C" w:rsidRDefault="0046001C" w:rsidP="0046001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0368020" w:history="1">
            <w:r w:rsidRPr="00A129A9">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Toc480368020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21" w:history="1">
            <w:r w:rsidRPr="00A129A9">
              <w:rPr>
                <w:rStyle w:val="Hyperlink"/>
              </w:rPr>
              <w:t>Person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Toc480368021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22" w:history="1">
            <w:r w:rsidRPr="00A129A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Toc480368022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23" w:history="1">
            <w:r w:rsidRPr="00A129A9">
              <w:rPr>
                <w:rStyle w:val="Hyperlink"/>
              </w:rPr>
              <w:t>Can Allah be seen?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Toc480368023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24" w:history="1">
            <w:r w:rsidRPr="00A129A9">
              <w:rPr>
                <w:rStyle w:val="Hyperlink"/>
              </w:rPr>
              <w:t>Attributes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Toc480368024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25" w:history="1">
            <w:r w:rsidRPr="00A129A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Toc480368025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26" w:history="1">
            <w:r w:rsidRPr="00A129A9">
              <w:rPr>
                <w:rStyle w:val="Hyperlink"/>
              </w:rPr>
              <w:t>Place of Reason in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Toc480368026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27" w:history="1">
            <w:r w:rsidRPr="00A129A9">
              <w:rPr>
                <w:rStyle w:val="Hyperlink"/>
              </w:rPr>
              <w:t>Lutf: Grace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Toc480368027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28" w:history="1">
            <w:r w:rsidRPr="00A129A9">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Toc480368028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29" w:history="1">
            <w:r w:rsidRPr="00A129A9">
              <w:rPr>
                <w:rStyle w:val="Hyperlink"/>
              </w:rPr>
              <w:t>God’s Promises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Toc480368029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30" w:history="1">
            <w:r w:rsidRPr="00A129A9">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Toc480368030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31" w:history="1">
            <w:r w:rsidRPr="00A129A9">
              <w:rPr>
                <w:rStyle w:val="Hyperlink"/>
              </w:rPr>
              <w:t>Why believe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Toc480368031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32" w:history="1">
            <w:r w:rsidRPr="00A129A9">
              <w:rPr>
                <w:rStyle w:val="Hyperlink"/>
              </w:rPr>
              <w:t>Our actions: Taqdir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Toc480368032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33" w:history="1">
            <w:r w:rsidRPr="00A129A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Toc480368033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46001C" w:rsidRDefault="0046001C" w:rsidP="0046001C">
          <w:pPr>
            <w:pStyle w:val="TOC1"/>
            <w:rPr>
              <w:rFonts w:asciiTheme="minorHAnsi" w:eastAsiaTheme="minorEastAsia" w:hAnsiTheme="minorHAnsi" w:cstheme="minorBidi"/>
              <w:b w:val="0"/>
              <w:bCs w:val="0"/>
              <w:color w:val="auto"/>
              <w:sz w:val="22"/>
              <w:szCs w:val="22"/>
              <w:rtl/>
            </w:rPr>
          </w:pPr>
          <w:hyperlink w:anchor="_Toc480368034" w:history="1">
            <w:r w:rsidRPr="00A129A9">
              <w:rPr>
                <w:rStyle w:val="Hyperlink"/>
              </w:rPr>
              <w:t>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Toc480368034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35" w:history="1">
            <w:r w:rsidRPr="00A129A9">
              <w:rPr>
                <w:rStyle w:val="Hyperlink"/>
              </w:rPr>
              <w:t>Infallibility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Toc480368035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36" w:history="1">
            <w:r w:rsidRPr="00A129A9">
              <w:rPr>
                <w:rStyle w:val="Hyperlink"/>
              </w:rPr>
              <w:t>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Toc480368036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46001C" w:rsidRDefault="0046001C" w:rsidP="0046001C">
          <w:pPr>
            <w:pStyle w:val="TOC2"/>
            <w:rPr>
              <w:rFonts w:asciiTheme="minorHAnsi" w:eastAsiaTheme="minorEastAsia" w:hAnsiTheme="minorHAnsi" w:cstheme="minorBidi"/>
              <w:color w:val="auto"/>
              <w:sz w:val="22"/>
              <w:szCs w:val="22"/>
              <w:rtl/>
            </w:rPr>
          </w:pPr>
          <w:hyperlink w:anchor="_Toc480368037" w:history="1">
            <w:r w:rsidRPr="00A129A9">
              <w:rPr>
                <w:rStyle w:val="Hyperlink"/>
              </w:rPr>
              <w:t>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Toc480368037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46001C" w:rsidRDefault="0046001C" w:rsidP="0046001C">
          <w:pPr>
            <w:pStyle w:val="libNormal"/>
          </w:pPr>
          <w:r>
            <w:fldChar w:fldCharType="end"/>
          </w:r>
        </w:p>
      </w:sdtContent>
    </w:sdt>
    <w:p w:rsidR="00AA4694" w:rsidRDefault="00AA4694" w:rsidP="004E6F17">
      <w:pPr>
        <w:pStyle w:val="libNormal"/>
      </w:pPr>
      <w:r>
        <w:br w:type="page"/>
      </w:r>
    </w:p>
    <w:p w:rsidR="00AA4694" w:rsidRDefault="00AA4694" w:rsidP="004E6F17">
      <w:pPr>
        <w:pStyle w:val="Heading1Center"/>
      </w:pPr>
      <w:bookmarkStart w:id="0" w:name="_Toc480368020"/>
      <w:r>
        <w:lastRenderedPageBreak/>
        <w:t>Introduction</w:t>
      </w:r>
      <w:bookmarkEnd w:id="0"/>
    </w:p>
    <w:p w:rsidR="003C3B2B" w:rsidRDefault="00AA4694" w:rsidP="001E37DF">
      <w:pPr>
        <w:pStyle w:val="libBoldItalic"/>
      </w:pPr>
      <w:r>
        <w:t>In the Name of Allah, the Beneficent, the Merciful</w:t>
      </w:r>
    </w:p>
    <w:p w:rsidR="003C3B2B" w:rsidRDefault="00AA4694" w:rsidP="006F1221">
      <w:pPr>
        <w:pStyle w:val="libNormal"/>
      </w:pPr>
      <w:r>
        <w:t>There is no difference of opinion amongst Muslim sects that the ‘religion’ of Allah is Islam; that the only way to know Islam is through the Book of Allah and the sunnah of the Holy Prophet; and that the Book of Allah is what is known as the Qur’an, is without any addition or subtraction.</w:t>
      </w:r>
    </w:p>
    <w:p w:rsidR="003C3B2B" w:rsidRDefault="00AA4694" w:rsidP="006F1221">
      <w:pPr>
        <w:pStyle w:val="libNormal"/>
      </w:pPr>
      <w:r>
        <w:t>And what difference is there is in the interpretation of some of the verses of the Qur’an; and in believing or not believing some of the sunnah as genuine; or in its interpretation.</w:t>
      </w:r>
    </w:p>
    <w:p w:rsidR="003C3B2B" w:rsidRDefault="00AA4694" w:rsidP="006F1221">
      <w:pPr>
        <w:pStyle w:val="libNormal"/>
      </w:pPr>
      <w:r>
        <w:t>This difference of approach has led towards the difference in some basic principles and some laws of shari’ah.</w:t>
      </w:r>
    </w:p>
    <w:p w:rsidR="003C3B2B" w:rsidRDefault="00AA4694" w:rsidP="006F1221">
      <w:pPr>
        <w:pStyle w:val="libNormal"/>
      </w:pPr>
      <w:r>
        <w:t>As the basic principles of Islam are well-known, I do not think it necessary to enumerate all the beliefs. It will be sufficient if some of the important differences are described here to give the readers a fairly comprehensive idea of the main characteristics which distinguish the Shi’ahs from the Sunnis.</w:t>
      </w:r>
    </w:p>
    <w:p w:rsidR="003C3B2B" w:rsidRDefault="00AA4694" w:rsidP="006F1221">
      <w:pPr>
        <w:pStyle w:val="libNormal"/>
      </w:pPr>
      <w:r>
        <w:t>All the Muslims agree that Allah is one, Muhammad is His last Prophet and that one day Allah will resurrect all the human beings and all will be answerable to their beliefs and actions.</w:t>
      </w:r>
    </w:p>
    <w:p w:rsidR="003C3B2B" w:rsidRDefault="00AA4694" w:rsidP="006F1221">
      <w:pPr>
        <w:pStyle w:val="libNormal"/>
      </w:pPr>
      <w:r>
        <w:t>All of them agree that anyone not believing in any of the above three basic principles is not a Muslim. Also, they agree that anybody denying the famous tenets of Islam, like salah (prayers), sawm (fasting), hajj (pilgrimage to Mecca), zakat (religious tax), etc., or believing that the famous sins, like drinking wine, adultery, stealing, gambling, lie, murder, etc., are not sins, is not a Muslim, though he might have been believing in Allah and His Prophet Muhammad, because to deny such things is tantamount to deny the Prophethood of Muhammad and his shari’ah (Divine Law).</w:t>
      </w:r>
    </w:p>
    <w:p w:rsidR="00AA4694" w:rsidRDefault="00AA4694" w:rsidP="006F1221">
      <w:pPr>
        <w:pStyle w:val="libNormal"/>
      </w:pPr>
      <w:r>
        <w:t>When we go further, we come across those subjects which are not agreed amongst the Muslims, and there the differences between the different sects of Islam begin.</w:t>
      </w:r>
    </w:p>
    <w:p w:rsidR="00AA4694" w:rsidRDefault="00AA4694" w:rsidP="004E6F17">
      <w:pPr>
        <w:pStyle w:val="libNormal"/>
      </w:pPr>
      <w:r>
        <w:br w:type="page"/>
      </w:r>
    </w:p>
    <w:p w:rsidR="003C3B2B" w:rsidRDefault="00AA4694" w:rsidP="004E6F17">
      <w:pPr>
        <w:pStyle w:val="Heading1Center"/>
      </w:pPr>
      <w:bookmarkStart w:id="1" w:name="_Toc480368021"/>
      <w:r>
        <w:lastRenderedPageBreak/>
        <w:t>Person of God</w:t>
      </w:r>
      <w:bookmarkEnd w:id="1"/>
    </w:p>
    <w:p w:rsidR="003C3B2B" w:rsidRDefault="00AA4694" w:rsidP="006F1221">
      <w:pPr>
        <w:pStyle w:val="libNormal"/>
      </w:pPr>
      <w:r>
        <w:t>The Sunnis say that Allah has a body, not like the bodies that we know of. There is a vast material which can be quoted here describing that belief. But as all the Sunnis nowadays are Ash’arite (followers of Abu’l-Hasan al-Ash’ari), I would like to note down his belief on this subject.</w:t>
      </w:r>
    </w:p>
    <w:p w:rsidR="003C3B2B" w:rsidRDefault="00AA4694" w:rsidP="006F1221">
      <w:pPr>
        <w:pStyle w:val="libNormal"/>
      </w:pPr>
      <w:r>
        <w:t xml:space="preserve">He says </w:t>
      </w:r>
      <w:r w:rsidR="004724AA">
        <w:t>“</w:t>
      </w:r>
      <w:r>
        <w:t>We confess that God is firmly seated on His Throne . . . We confess that God has two hands, without asking how ... We confess that God has two eyes, without asking how. . . We confess that God has a face ... We confess that God has knowledge ... We affirm hearing and sight, and do not deny that, as do the Mu’tazila, the Jahmiyya, and the Khawarij. ... We affirm that God has power. . .</w:t>
      </w:r>
      <w:r w:rsidR="004724AA">
        <w:t>”</w:t>
      </w:r>
      <w:r>
        <w:t xml:space="preserve"> </w:t>
      </w:r>
      <w:r w:rsidRPr="009126FD">
        <w:rPr>
          <w:rStyle w:val="libFootnotenumChar"/>
        </w:rPr>
        <w:t>1</w:t>
      </w:r>
    </w:p>
    <w:p w:rsidR="003C3B2B" w:rsidRDefault="00AA4694" w:rsidP="006F1221">
      <w:pPr>
        <w:pStyle w:val="libNormal"/>
      </w:pPr>
      <w:r>
        <w:t>We, the Shi`ah Ithna ‘asharis (the followers of the Twelve-Imams in Shi’ism) believe that Allah doesn’t have a body.</w:t>
      </w:r>
    </w:p>
    <w:p w:rsidR="003C3B2B" w:rsidRDefault="004724AA" w:rsidP="006F1221">
      <w:pPr>
        <w:pStyle w:val="libNormal"/>
      </w:pPr>
      <w:r>
        <w:t>“</w:t>
      </w:r>
      <w:r w:rsidR="00AA4694">
        <w:t>Verily, Allah is One, Unique, nothing is like Him, He is Eternal; Hearing, Seeing, Omniscient, Living, Omnipotent, above every need. He cannot be described in terms of substance, or body, or form, or accident, or line, or surface, or heaviness, or lightness, or colour, or movement, or rest, or time, or space. He is above all the descriptions which can be applied to His creatures.</w:t>
      </w:r>
      <w:r>
        <w:t>”</w:t>
      </w:r>
    </w:p>
    <w:p w:rsidR="003C3B2B" w:rsidRDefault="004724AA" w:rsidP="006F1221">
      <w:pPr>
        <w:pStyle w:val="libNormal"/>
      </w:pPr>
      <w:r>
        <w:t>“</w:t>
      </w:r>
      <w:r w:rsidR="00AA4694">
        <w:t>He is away from both extremes: Neither He is just a non-entity (as atheists and in a lesser degree that the Mu'tazilites have implied), nor He is just like other things. He is Existent, not like other existing things.</w:t>
      </w:r>
      <w:r>
        <w:t>”</w:t>
      </w:r>
      <w:r w:rsidR="00AA4694">
        <w:t xml:space="preserve"> </w:t>
      </w:r>
      <w:r w:rsidR="00AA4694" w:rsidRPr="009126FD">
        <w:rPr>
          <w:rStyle w:val="libFootnotenumChar"/>
        </w:rPr>
        <w:t>2</w:t>
      </w:r>
    </w:p>
    <w:p w:rsidR="003C3B2B" w:rsidRDefault="00AA4694" w:rsidP="006F1221">
      <w:pPr>
        <w:pStyle w:val="libNormal"/>
      </w:pPr>
      <w:r>
        <w:t>Of course, there are some verses in the Qur'an which ascribe the words used for limbs to the person of God. But according to the interpretation of our Imams, they are used in a metaphorical, not literal sense.</w:t>
      </w:r>
    </w:p>
    <w:p w:rsidR="003C3B2B" w:rsidRDefault="00AA4694" w:rsidP="006F1221">
      <w:pPr>
        <w:pStyle w:val="libNormal"/>
      </w:pPr>
      <w:r>
        <w:t xml:space="preserve">For example, the verse: </w:t>
      </w:r>
      <w:r w:rsidR="004724AA">
        <w:t>“</w:t>
      </w:r>
      <w:r>
        <w:t>Everything is mortal except His face</w:t>
      </w:r>
      <w:r w:rsidR="004724AA">
        <w:t>”</w:t>
      </w:r>
      <w:r>
        <w:t xml:space="preserve"> means ‘except His person’. Surely, even the Sunnis cannot say that only the face of God will remain, while all His so-called limbs will die! Similarly Allah has used the word ‘Hand’ in several places in the Qur'an. But it means His Power and His Mercy, as in the verse: </w:t>
      </w:r>
      <w:r w:rsidR="004724AA">
        <w:t>“</w:t>
      </w:r>
      <w:r>
        <w:t>But His hands are outspread</w:t>
      </w:r>
      <w:r w:rsidR="004724AA">
        <w:t>”</w:t>
      </w:r>
      <w:r>
        <w:t>.</w:t>
      </w:r>
    </w:p>
    <w:p w:rsidR="009126FD" w:rsidRDefault="009126FD" w:rsidP="009126FD">
      <w:pPr>
        <w:pStyle w:val="Heading2Center"/>
      </w:pPr>
      <w:bookmarkStart w:id="2" w:name="_Toc480368022"/>
      <w:r>
        <w:t>Notes</w:t>
      </w:r>
      <w:bookmarkEnd w:id="2"/>
    </w:p>
    <w:p w:rsidR="00AA4694" w:rsidRDefault="00AA4694" w:rsidP="009126FD">
      <w:pPr>
        <w:pStyle w:val="libFootnote"/>
      </w:pPr>
      <w:r>
        <w:t>1. A. J. Arberry, Revelation and Reason in Islam, pp. 22 - 23; quoted from al-Ibana by Abu’1-Hasan al-Ash’ari.</w:t>
      </w:r>
    </w:p>
    <w:p w:rsidR="00AA4694" w:rsidRDefault="00AA4694" w:rsidP="009126FD">
      <w:pPr>
        <w:pStyle w:val="libFootnote"/>
      </w:pPr>
      <w:r>
        <w:t>2. Ash Shaykh as-Saduq, Al-I’tiqadat.</w:t>
      </w:r>
    </w:p>
    <w:p w:rsidR="00AA4694" w:rsidRDefault="00AA4694" w:rsidP="004E6F17">
      <w:pPr>
        <w:pStyle w:val="libNormal"/>
      </w:pPr>
      <w:r>
        <w:br w:type="page"/>
      </w:r>
    </w:p>
    <w:p w:rsidR="003C3B2B" w:rsidRDefault="00AA4694" w:rsidP="004E6F17">
      <w:pPr>
        <w:pStyle w:val="Heading1Center"/>
      </w:pPr>
      <w:bookmarkStart w:id="3" w:name="_Toc480368023"/>
      <w:r>
        <w:lastRenderedPageBreak/>
        <w:t>Can Allah be seen?</w:t>
      </w:r>
      <w:bookmarkEnd w:id="3"/>
    </w:p>
    <w:p w:rsidR="003C3B2B" w:rsidRDefault="00AA4694" w:rsidP="006F1221">
      <w:pPr>
        <w:pStyle w:val="libNormal"/>
      </w:pPr>
      <w:r>
        <w:t>As a direct result of the above mentioned difference, the Sunnis say that Allah can be seen. Some of them, like Imam Ahmad ibn Hanbal, say that He can be seen in this world, as well as in the life hereafter. Others say that He can be seen in the life hereafter only.</w:t>
      </w:r>
    </w:p>
    <w:p w:rsidR="003C3B2B" w:rsidRDefault="00AA4694" w:rsidP="006F1221">
      <w:pPr>
        <w:pStyle w:val="libNormal"/>
      </w:pPr>
      <w:r>
        <w:t>On the other hand, we, the Ithna 'asharis, say that He cannot be seen anywhere, because He has no body, and because Allah says in the Qur’an:</w:t>
      </w:r>
    </w:p>
    <w:p w:rsidR="003C3B2B" w:rsidRDefault="004724AA" w:rsidP="006F1221">
      <w:pPr>
        <w:pStyle w:val="libNormal"/>
      </w:pPr>
      <w:r>
        <w:t>“</w:t>
      </w:r>
      <w:r w:rsidR="00AA4694">
        <w:t>Sight cannot reach Him</w:t>
      </w:r>
      <w:r>
        <w:t>”</w:t>
      </w:r>
      <w:r w:rsidR="00AA4694">
        <w:t xml:space="preserve"> (6:103).</w:t>
      </w:r>
    </w:p>
    <w:p w:rsidR="003C3B2B" w:rsidRDefault="00AA4694" w:rsidP="006F1221">
      <w:pPr>
        <w:pStyle w:val="libNormal"/>
      </w:pPr>
      <w:r>
        <w:t>The Sunnis use the following verse as their proof:</w:t>
      </w:r>
    </w:p>
    <w:p w:rsidR="003C3B2B" w:rsidRDefault="004724AA" w:rsidP="006F1221">
      <w:pPr>
        <w:pStyle w:val="libNormal"/>
      </w:pPr>
      <w:r>
        <w:t>“</w:t>
      </w:r>
      <w:r w:rsidR="00AA4694">
        <w:t>Some faces on that day (of judgement) will be fresh, looking towards their Lord</w:t>
      </w:r>
      <w:r>
        <w:t>”</w:t>
      </w:r>
      <w:r w:rsidR="00AA4694">
        <w:t xml:space="preserve"> (75:22-23).</w:t>
      </w:r>
    </w:p>
    <w:p w:rsidR="00AA4694" w:rsidRDefault="00AA4694" w:rsidP="006F1221">
      <w:pPr>
        <w:pStyle w:val="libNormal"/>
      </w:pPr>
      <w:r>
        <w:t xml:space="preserve">But in the Arabic language, the word </w:t>
      </w:r>
      <w:r w:rsidR="004724AA">
        <w:t>“</w:t>
      </w:r>
      <w:r>
        <w:t>nazar</w:t>
      </w:r>
      <w:r w:rsidR="004724AA">
        <w:t>”</w:t>
      </w:r>
      <w:r>
        <w:t xml:space="preserve"> does not imply ‘seeing’. Often it is said: ‘nazartu ilal hilal falam arahu’ (I looked towards the new moon but I did not see it). Therefore, the verse cannot imply that they will see God. According to our interpretation, it means that they will be looking forward for the blessings of Allah.</w:t>
      </w:r>
    </w:p>
    <w:p w:rsidR="00AA4694" w:rsidRDefault="00AA4694" w:rsidP="004E6F17">
      <w:pPr>
        <w:pStyle w:val="libNormal"/>
      </w:pPr>
      <w:r>
        <w:br w:type="page"/>
      </w:r>
    </w:p>
    <w:p w:rsidR="003C3B2B" w:rsidRDefault="00AA4694" w:rsidP="004E6F17">
      <w:pPr>
        <w:pStyle w:val="Heading1Center"/>
      </w:pPr>
      <w:bookmarkStart w:id="4" w:name="_Toc480368024"/>
      <w:r>
        <w:lastRenderedPageBreak/>
        <w:t>Attributes of Allah</w:t>
      </w:r>
      <w:bookmarkEnd w:id="4"/>
    </w:p>
    <w:p w:rsidR="003C3B2B" w:rsidRDefault="00AA4694" w:rsidP="006F1221">
      <w:pPr>
        <w:pStyle w:val="libNormal"/>
      </w:pPr>
      <w:r>
        <w:t>According to the Shi’ah Ithna ‘asharis, attributes of Allah can be put in two distinct groups: First, those attributes which denote His person; second, those attributes which denote His actions.</w:t>
      </w:r>
    </w:p>
    <w:p w:rsidR="003C3B2B" w:rsidRDefault="00AA4694" w:rsidP="006F1221">
      <w:pPr>
        <w:pStyle w:val="libNormal"/>
      </w:pPr>
      <w:r>
        <w:t>Ash-Shaykh as-Saduq says:</w:t>
      </w:r>
    </w:p>
    <w:p w:rsidR="003C3B2B" w:rsidRDefault="004724AA" w:rsidP="006F1221">
      <w:pPr>
        <w:pStyle w:val="libNormal"/>
      </w:pPr>
      <w:r>
        <w:t>“</w:t>
      </w:r>
      <w:r w:rsidR="00AA4694">
        <w:t>For example, we say that Allah was forever 'Hearing, Seeing, Omniscient, Wise, Omnipotent, Having power, Living, Self-existent; One and Eternal. These are His personal attributes;.</w:t>
      </w:r>
    </w:p>
    <w:p w:rsidR="003C3B2B" w:rsidRDefault="004724AA" w:rsidP="006F1221">
      <w:pPr>
        <w:pStyle w:val="libNormal"/>
      </w:pPr>
      <w:r>
        <w:t>“</w:t>
      </w:r>
      <w:r w:rsidR="00AA4694">
        <w:t>And we do not say that He was from ever Creating, Doing, Intending, pleased, displeased, Giving sustenance, Speaking; because these virtues describe His actions; and they are not eternal; it is not allowed to say that Allah was doing all these actions from eternity. The reason for this distinction is obvious. Actions need an object. If, for example, we say that Allah was giving sustenance since forever, we will have to admit the existence of sustained things since forever.</w:t>
      </w:r>
    </w:p>
    <w:p w:rsidR="003C3B2B" w:rsidRDefault="00AA4694" w:rsidP="006F1221">
      <w:pPr>
        <w:pStyle w:val="libNormal"/>
      </w:pPr>
      <w:r>
        <w:t>In other words, we will have to admit that the world has always existed. But it is against our belief that nothing except God is Eternal.</w:t>
      </w:r>
      <w:r w:rsidR="004724AA">
        <w:t>”</w:t>
      </w:r>
    </w:p>
    <w:p w:rsidR="003C3B2B" w:rsidRDefault="00AA4694" w:rsidP="006F1221">
      <w:pPr>
        <w:pStyle w:val="libNormal"/>
      </w:pPr>
      <w:r>
        <w:t xml:space="preserve">It appears that the Sunnis have no clear view of this distinction. They say that all His attributes are Eternal. And that was the actual cause of their belief that the Qur'an, being the kalam (speech) of God, is Eternal, not created. Because they said that He has always been mutakallim. </w:t>
      </w:r>
      <w:r w:rsidR="004724AA">
        <w:t>“</w:t>
      </w:r>
      <w:r>
        <w:t>The Hanbalites so far have said that ‘not only were the words and sounds of the Qur'an eternal, so that even its recital was uncreated, but its parchment and binding shared the same qualities . . . In the so called Testament of Abu Hanifah . . . a more moderate view is expressed: ‘We confess that the Qur’an is the speech of Allah, uncreated, His inspiration, and revelation, not He, yet not other than He, but His real quality, written in the copies, recited by the tongues . . . The ink, the paper, the writing are created, for they are the work of man’</w:t>
      </w:r>
      <w:r w:rsidR="004724AA">
        <w:t>”</w:t>
      </w:r>
      <w:r>
        <w:t xml:space="preserve">. </w:t>
      </w:r>
      <w:r w:rsidRPr="009126FD">
        <w:rPr>
          <w:rStyle w:val="libFootnotenumChar"/>
        </w:rPr>
        <w:t>1</w:t>
      </w:r>
    </w:p>
    <w:p w:rsidR="003C3B2B" w:rsidRDefault="00AA4694" w:rsidP="006F1221">
      <w:pPr>
        <w:pStyle w:val="libNormal"/>
      </w:pPr>
      <w:r>
        <w:t>But as we, the Shi'ah Ithna ‘asharis, distinguish between His personal virtues and His actions, we say:</w:t>
      </w:r>
    </w:p>
    <w:p w:rsidR="003C3B2B" w:rsidRDefault="004724AA" w:rsidP="006F1221">
      <w:pPr>
        <w:pStyle w:val="libNormal"/>
      </w:pPr>
      <w:r>
        <w:t>“</w:t>
      </w:r>
      <w:r w:rsidR="00AA4694">
        <w:t>Our belief about the Qur'an is that it is the speech of God. It has been sent by Him - it is His revelation, His book and His word. All is its Creator, Sender and Guardian...</w:t>
      </w:r>
      <w:r>
        <w:t>”</w:t>
      </w:r>
      <w:r w:rsidR="00AA4694">
        <w:t xml:space="preserve"> </w:t>
      </w:r>
      <w:r w:rsidR="00AA4694" w:rsidRPr="009126FD">
        <w:rPr>
          <w:rStyle w:val="libFootnotenumChar"/>
        </w:rPr>
        <w:t>2</w:t>
      </w:r>
    </w:p>
    <w:p w:rsidR="003C3B2B" w:rsidRDefault="00AA4694" w:rsidP="006F1221">
      <w:pPr>
        <w:pStyle w:val="libNormal"/>
      </w:pPr>
      <w:r>
        <w:t>The bitter quarrels among two groups of the Sunnis (Mu’tazilites and Ash’arites) on this subject are well-known, and there is no need to relieve them.</w:t>
      </w:r>
    </w:p>
    <w:p w:rsidR="009126FD" w:rsidRDefault="009126FD" w:rsidP="009126FD">
      <w:pPr>
        <w:pStyle w:val="Heading2Center"/>
      </w:pPr>
      <w:bookmarkStart w:id="5" w:name="_Toc480368025"/>
      <w:r>
        <w:t>Notes</w:t>
      </w:r>
      <w:bookmarkEnd w:id="5"/>
    </w:p>
    <w:p w:rsidR="00AA4694" w:rsidRDefault="00AA4694" w:rsidP="009126FD">
      <w:pPr>
        <w:pStyle w:val="libFootnote"/>
      </w:pPr>
      <w:r>
        <w:t>1. A. J. Arberry, Revelation and Reason in Islam, pp. 26 – 27.</w:t>
      </w:r>
    </w:p>
    <w:p w:rsidR="00AA4694" w:rsidRDefault="00AA4694" w:rsidP="009126FD">
      <w:pPr>
        <w:pStyle w:val="libFootnote"/>
      </w:pPr>
      <w:r>
        <w:t>2. Al-I’tiqadat.</w:t>
      </w:r>
    </w:p>
    <w:p w:rsidR="00AA4694" w:rsidRDefault="00AA4694" w:rsidP="004E6F17">
      <w:pPr>
        <w:pStyle w:val="libNormal"/>
      </w:pPr>
      <w:r>
        <w:br w:type="page"/>
      </w:r>
    </w:p>
    <w:p w:rsidR="003C3B2B" w:rsidRDefault="00AA4694" w:rsidP="004E6F17">
      <w:pPr>
        <w:pStyle w:val="Heading1Center"/>
      </w:pPr>
      <w:bookmarkStart w:id="6" w:name="_Toc480368026"/>
      <w:r>
        <w:lastRenderedPageBreak/>
        <w:t>Place of Reason in Religion</w:t>
      </w:r>
      <w:bookmarkEnd w:id="6"/>
    </w:p>
    <w:p w:rsidR="003C3B2B" w:rsidRDefault="00AA4694" w:rsidP="006F1221">
      <w:pPr>
        <w:pStyle w:val="libNormal"/>
      </w:pPr>
      <w:r>
        <w:t>This is one of the most important distinctions between the Sunnis on one side, and the Ithna’asharis on the other. To be more exact, I should have used the word Ash’arites, in place of Sunnis. But all the Sunnis nowadays are Ash’arites. Mu’tazilites have become extinct long ago, though some of the great scholars of the recent times like Justice Amir ‘Ali were Mu’tazilites.</w:t>
      </w:r>
    </w:p>
    <w:p w:rsidR="003C3B2B" w:rsidRDefault="00AA4694" w:rsidP="006F1221">
      <w:pPr>
        <w:pStyle w:val="libNormal"/>
      </w:pPr>
      <w:r>
        <w:t>Anyhow, the Shi’ahs say that irrespective of religious commandments, there is real merit or demerit in different courses of actions, and it is because a certain thing is good that God orders it, and because the other is bad that He forbids it.</w:t>
      </w:r>
    </w:p>
    <w:p w:rsidR="003C3B2B" w:rsidRDefault="00AA4694" w:rsidP="006F1221">
      <w:pPr>
        <w:pStyle w:val="libNormal"/>
      </w:pPr>
      <w:r>
        <w:t>The Sunnis deny this conception. They say that nothing is good or evil in itself. Only what God has commanded us is good and what He has forbidden us is evil. If a thing is forbidden by God it is bad; then if God cancels the first order, and allows it, it will become good, after being bad.</w:t>
      </w:r>
    </w:p>
    <w:p w:rsidR="003C3B2B" w:rsidRDefault="00AA4694" w:rsidP="006F1221">
      <w:pPr>
        <w:pStyle w:val="libNormal"/>
      </w:pPr>
      <w:r>
        <w:t>In other words, the Shi’ahs say that God has forbidden us to tell a lie because it is bad; the Sunnis say that lying has become bad because God has forbidden it.</w:t>
      </w:r>
    </w:p>
    <w:p w:rsidR="003C3B2B" w:rsidRDefault="00AA4694" w:rsidP="006F1221">
      <w:pPr>
        <w:pStyle w:val="libNormal"/>
      </w:pPr>
      <w:r>
        <w:t>The Shi’ahs recognize the relation of cause with effect. The Sunnis deny it. They say that there is no cause except Allah. And it is just a habit of Allah that whenever, for example, we drink water He quenches our thirst. Based upon the above difference of attitude about the position of reason in religion are the following differences:-</w:t>
      </w:r>
    </w:p>
    <w:p w:rsidR="003C3B2B" w:rsidRDefault="00AA4694" w:rsidP="006F1221">
      <w:pPr>
        <w:pStyle w:val="libNormal"/>
      </w:pPr>
      <w:r>
        <w:t>The Shi’ahs say that God never acts without purpose or aimlessly. All His actions are based on wisdom and intelligent purpose. The proof being because it is not commendable, rationally, to act without purpose. The Sunnis on the other hand, because of their denouncement of rational merit or demerit, say that it is quite possible for God to act aimlessly.</w:t>
      </w:r>
    </w:p>
    <w:p w:rsidR="003C3B2B" w:rsidRDefault="00AA4694" w:rsidP="006F1221">
      <w:pPr>
        <w:pStyle w:val="libNormal"/>
      </w:pPr>
      <w:r>
        <w:t>It follows that, according to the Shi’ahs, God does nothing which has inherent demerit in it. The Sunnis deny this.</w:t>
      </w:r>
    </w:p>
    <w:p w:rsidR="00AA4694" w:rsidRDefault="00AA4694" w:rsidP="006F1221">
      <w:pPr>
        <w:pStyle w:val="libNormal"/>
      </w:pPr>
      <w:r>
        <w:t>The Shi’ah say that all actions of Allah are intended for the benefit of His creatures. Because He Himself has no need; and if His actions become devoid of benefits for His creation also, they will become aimless, which is rationally not commendable. The Sunnis deny this, because of their stand about rational merit or demerit.</w:t>
      </w:r>
    </w:p>
    <w:p w:rsidR="00AA4694" w:rsidRDefault="00AA4694" w:rsidP="004E6F17">
      <w:pPr>
        <w:pStyle w:val="libNormal"/>
      </w:pPr>
      <w:r>
        <w:br w:type="page"/>
      </w:r>
    </w:p>
    <w:p w:rsidR="003C3B2B" w:rsidRDefault="00AA4694" w:rsidP="004E6F17">
      <w:pPr>
        <w:pStyle w:val="Heading1Center"/>
      </w:pPr>
      <w:bookmarkStart w:id="7" w:name="_Toc480368027"/>
      <w:r>
        <w:lastRenderedPageBreak/>
        <w:t>Lutf: Grace</w:t>
      </w:r>
      <w:bookmarkEnd w:id="7"/>
    </w:p>
    <w:p w:rsidR="003C3B2B" w:rsidRDefault="00AA4694" w:rsidP="006F1221">
      <w:pPr>
        <w:pStyle w:val="libNormal"/>
      </w:pPr>
      <w:r>
        <w:t xml:space="preserve">Based upon the above differences, is the difference about their attitude towards the Grace of Allah. The Shi`ahs say that the Grace is morally, incumbent upon Allah. </w:t>
      </w:r>
      <w:r w:rsidR="004724AA">
        <w:t>“</w:t>
      </w:r>
      <w:r>
        <w:t>By grace, it is understood that action on the part of God which would help to bring His creatures nearer to His devotion and obedience and facilitate their moral correction, (which is) morally incumbent on Him.</w:t>
      </w:r>
    </w:p>
    <w:p w:rsidR="003C3B2B" w:rsidRDefault="004724AA" w:rsidP="006F1221">
      <w:pPr>
        <w:pStyle w:val="libNormal"/>
      </w:pPr>
      <w:r>
        <w:t>“</w:t>
      </w:r>
      <w:r w:rsidR="00AA4694">
        <w:t>Allah has commanded us to be just, while He Himself treats us with something better, namely grace (tafaddul).</w:t>
      </w:r>
      <w:r>
        <w:t>”</w:t>
      </w:r>
    </w:p>
    <w:p w:rsidR="003C3B2B" w:rsidRDefault="00AA4694" w:rsidP="006F1221">
      <w:pPr>
        <w:pStyle w:val="libNormal"/>
      </w:pPr>
      <w:r>
        <w:t xml:space="preserve">The Sunnis, on the other hand, say, </w:t>
      </w:r>
      <w:r w:rsidR="004724AA">
        <w:t>“</w:t>
      </w:r>
      <w:r>
        <w:t>God leaded astray whom He wills and guided aright whom He wills, and it is not incumbent upon God The Most High to do that which may be best for the creature.</w:t>
      </w:r>
      <w:r w:rsidR="004724AA">
        <w:t>”</w:t>
      </w:r>
      <w:r>
        <w:t xml:space="preserve"> </w:t>
      </w:r>
      <w:r w:rsidRPr="009126FD">
        <w:rPr>
          <w:rStyle w:val="libFootnotenumChar"/>
        </w:rPr>
        <w:t>1</w:t>
      </w:r>
    </w:p>
    <w:p w:rsidR="009126FD" w:rsidRDefault="009126FD" w:rsidP="009126FD">
      <w:pPr>
        <w:pStyle w:val="Heading2Center"/>
      </w:pPr>
      <w:bookmarkStart w:id="8" w:name="_Toc480368028"/>
      <w:r>
        <w:t>Note</w:t>
      </w:r>
      <w:bookmarkEnd w:id="8"/>
    </w:p>
    <w:p w:rsidR="00AA4694" w:rsidRDefault="00AA4694" w:rsidP="009126FD">
      <w:pPr>
        <w:pStyle w:val="libFootnote"/>
      </w:pPr>
      <w:r>
        <w:t>1. Creed of an-Nasafi.</w:t>
      </w:r>
    </w:p>
    <w:p w:rsidR="00AA4694" w:rsidRDefault="00AA4694" w:rsidP="004E6F17">
      <w:pPr>
        <w:pStyle w:val="libNormal"/>
      </w:pPr>
      <w:r>
        <w:br w:type="page"/>
      </w:r>
    </w:p>
    <w:p w:rsidR="003C3B2B" w:rsidRDefault="00AA4694" w:rsidP="004E6F17">
      <w:pPr>
        <w:pStyle w:val="Heading1Center"/>
      </w:pPr>
      <w:bookmarkStart w:id="9" w:name="_Toc480368029"/>
      <w:r>
        <w:lastRenderedPageBreak/>
        <w:t>God’s Promises</w:t>
      </w:r>
      <w:bookmarkEnd w:id="9"/>
    </w:p>
    <w:p w:rsidR="003C3B2B" w:rsidRDefault="00AA4694" w:rsidP="006F1221">
      <w:pPr>
        <w:pStyle w:val="libNormal"/>
      </w:pPr>
      <w:r>
        <w:t xml:space="preserve">Based upon our stand on justice and grace is our view that </w:t>
      </w:r>
      <w:r w:rsidR="004724AA">
        <w:t>“</w:t>
      </w:r>
      <w:r>
        <w:t>whatever God has promised as reward for any good work, He will fulfil it; but whatever He has threatened as punishment for any bad work, it is upon His discretion. If He meted out the punishment, it will be by His justice; if He forgives it, it will be by His grace.</w:t>
      </w:r>
      <w:r w:rsidR="004724AA">
        <w:t>”</w:t>
      </w:r>
      <w:r>
        <w:t xml:space="preserve"> </w:t>
      </w:r>
      <w:r w:rsidRPr="009126FD">
        <w:rPr>
          <w:rStyle w:val="libFootnotenumChar"/>
        </w:rPr>
        <w:t>1</w:t>
      </w:r>
    </w:p>
    <w:p w:rsidR="003C3B2B" w:rsidRDefault="00AA4694" w:rsidP="006F1221">
      <w:pPr>
        <w:pStyle w:val="libNormal"/>
      </w:pPr>
      <w:r>
        <w:t xml:space="preserve">We are confronted both by the Kharijites and Mu’tazilites on one side and the Ash'arites on the other. The Mu’tazilites and Kharijites say that it is incumbent upon God to fulfil His threats also. He has no power to forgive. The Ash’arites, on the other hand say that it is not incumbent upon Him even to fulfil His promises of rewards. They go so far as to say, </w:t>
      </w:r>
      <w:r w:rsidR="004724AA">
        <w:t>“</w:t>
      </w:r>
      <w:r>
        <w:t>even if Allah was to send the Prophets to Hell, and Satan to Paradise, it is not against virtue, because there is no inherent demerit in any action.</w:t>
      </w:r>
      <w:r w:rsidR="004724AA">
        <w:t>”</w:t>
      </w:r>
    </w:p>
    <w:p w:rsidR="009126FD" w:rsidRDefault="009126FD" w:rsidP="009126FD">
      <w:pPr>
        <w:pStyle w:val="Heading2Center"/>
      </w:pPr>
      <w:bookmarkStart w:id="10" w:name="_Toc480368030"/>
      <w:r>
        <w:t>Note</w:t>
      </w:r>
      <w:bookmarkEnd w:id="10"/>
    </w:p>
    <w:p w:rsidR="00AA4694" w:rsidRDefault="00AA4694" w:rsidP="009126FD">
      <w:pPr>
        <w:pStyle w:val="libFootnote"/>
      </w:pPr>
      <w:r>
        <w:t>1. Ash-Shaykh as-Saduq, al-I`tiqadat.</w:t>
      </w:r>
    </w:p>
    <w:p w:rsidR="00AA4694" w:rsidRDefault="00AA4694" w:rsidP="004E6F17">
      <w:pPr>
        <w:pStyle w:val="libNormal"/>
      </w:pPr>
      <w:r>
        <w:br w:type="page"/>
      </w:r>
    </w:p>
    <w:p w:rsidR="003C3B2B" w:rsidRDefault="00AA4694" w:rsidP="004E6F17">
      <w:pPr>
        <w:pStyle w:val="Heading1Center"/>
      </w:pPr>
      <w:bookmarkStart w:id="11" w:name="_Toc480368031"/>
      <w:r>
        <w:lastRenderedPageBreak/>
        <w:t>Why believe in God?</w:t>
      </w:r>
      <w:bookmarkEnd w:id="11"/>
    </w:p>
    <w:p w:rsidR="003C3B2B" w:rsidRDefault="00AA4694" w:rsidP="006F1221">
      <w:pPr>
        <w:pStyle w:val="libNormal"/>
      </w:pPr>
      <w:r>
        <w:t>The Shi’ahs say: Man is obliged by his reason to know God, and to obey His commands. The Sunnis say: Reason has nothing to do with anything. Of course, it is necessary to believe in Allah, but not on account of reason. It is necessary because Allah has ordered us to know Him. According to the Shiite view, this type of proof creates a vicious circle. Believe in God. Why? Because God has ordered it. But we do not know who is God. Why should we obey Him?</w:t>
      </w:r>
    </w:p>
    <w:p w:rsidR="00AA4694" w:rsidRDefault="00AA4694" w:rsidP="006F1221">
      <w:pPr>
        <w:pStyle w:val="libNormal"/>
      </w:pPr>
      <w:r>
        <w:t>The Shi’ahs say: God cannot give us a command beyond our strength, because it is wrong rationally. The Sunnis do not agree with it.</w:t>
      </w:r>
    </w:p>
    <w:p w:rsidR="00AA4694" w:rsidRDefault="00AA4694" w:rsidP="004E6F17">
      <w:pPr>
        <w:pStyle w:val="libNormal"/>
      </w:pPr>
      <w:r>
        <w:br w:type="page"/>
      </w:r>
    </w:p>
    <w:p w:rsidR="003C3B2B" w:rsidRDefault="00AA4694" w:rsidP="004E6F17">
      <w:pPr>
        <w:pStyle w:val="Heading1Center"/>
      </w:pPr>
      <w:bookmarkStart w:id="12" w:name="_Toc480368032"/>
      <w:r>
        <w:lastRenderedPageBreak/>
        <w:t>Our actions: Taqdir</w:t>
      </w:r>
      <w:bookmarkEnd w:id="12"/>
    </w:p>
    <w:p w:rsidR="003C3B2B" w:rsidRDefault="00AA4694" w:rsidP="006F1221">
      <w:pPr>
        <w:pStyle w:val="libNormal"/>
      </w:pPr>
      <w:r>
        <w:t xml:space="preserve">Are our actions really ours? Or are we just a tool in the hands of Allah? The Shi’ahs say: </w:t>
      </w:r>
      <w:r w:rsidR="004724AA">
        <w:t>“</w:t>
      </w:r>
      <w:r>
        <w:t>Taqdir means that, 'Allah possesses foreknowledge of human actions. But He does not compel any man to act in any particular way.’</w:t>
      </w:r>
      <w:r w:rsidR="004724AA">
        <w:t>”</w:t>
      </w:r>
      <w:r>
        <w:t xml:space="preserve"> </w:t>
      </w:r>
      <w:r w:rsidRPr="009126FD">
        <w:rPr>
          <w:rStyle w:val="libFootnotenumChar"/>
        </w:rPr>
        <w:t>1</w:t>
      </w:r>
    </w:p>
    <w:p w:rsidR="003C3B2B" w:rsidRDefault="00AA4694" w:rsidP="006F1221">
      <w:pPr>
        <w:pStyle w:val="libNormal"/>
      </w:pPr>
      <w:r>
        <w:t>To make it clear, it should be explained here, that man's conditions or actions are of two kinds (i) Those actions about which he can be advised, ordered, praised or blamed. Such actions are within his power and are dependent upon his will. (ii) Such conditions about which he cannot be praised or blamed, like life, death, etc. Such conditions are outside his sphere of will or power. For example, we can advise a patient to consult this or that doctor and remain under his treatment; but we cannot advise him to become cured. Why this difference? Because getting treatment is under his power, but getting cured is not in his power. It is something which comes from Allah.</w:t>
      </w:r>
    </w:p>
    <w:p w:rsidR="003C3B2B" w:rsidRDefault="00AA4694" w:rsidP="006F1221">
      <w:pPr>
        <w:pStyle w:val="libNormal"/>
      </w:pPr>
      <w:r>
        <w:t>But even our freedom of action is a gift of Allah. He has given us the power, the freedom, the strength, the limbs, the wisdom and everything with which we do any work. Therefore, we are not independent of Allah, because our freedom is not only given but even sustained by Him. But our actions are not compelled by God, because He, after showing us the right and wrong ways, and after enjoining us to do right, has left us to our own freewill. If we go wrong, it is our own choice.</w:t>
      </w:r>
    </w:p>
    <w:p w:rsidR="003C3B2B" w:rsidRDefault="00AA4694" w:rsidP="006F1221">
      <w:pPr>
        <w:pStyle w:val="libNormal"/>
      </w:pPr>
      <w:r>
        <w:t xml:space="preserve">Ash-Shaykh as-Saduq says: </w:t>
      </w:r>
      <w:r w:rsidR="004724AA">
        <w:t>“</w:t>
      </w:r>
      <w:r>
        <w:t>Our belief in this respect is what has been taught by al-Imam Ja’far as-Sadiq: ‘There is no compulsion (by God) and no relinquishing the authority (of God); but a condition between these two conditions.’ Then the Imam was asked: ‘How is it?’ He said: ‘Suppose you see a man intending to commit a sin; and you forbade him; but he did not listen to you; and you left him; and he did commit that sin. Now when he did not pay heed to you and you left him, it cannot be said that you ordered him or allowed him to sin.’</w:t>
      </w:r>
      <w:r w:rsidR="004724AA">
        <w:t>”</w:t>
      </w:r>
      <w:r>
        <w:t xml:space="preserve"> </w:t>
      </w:r>
      <w:r w:rsidRPr="009126FD">
        <w:rPr>
          <w:rStyle w:val="libFootnotenumChar"/>
        </w:rPr>
        <w:t>2</w:t>
      </w:r>
    </w:p>
    <w:p w:rsidR="003C3B2B" w:rsidRDefault="00AA4694" w:rsidP="006F1221">
      <w:pPr>
        <w:pStyle w:val="libNormal"/>
      </w:pPr>
      <w:r>
        <w:t>In other words, we believe that God has given us power and will and then has left us free to do what we like. At the same time, He has taught us, through the prophets, what is right and what is wrong. Now, as He is Omniscient, He knows what our actions will be in different times of our life. But this knowledge does not make Him responsible for our actions more than a meteorologist can be responsible for cyclones and storms, if his forecasts come true. True forecasts are the result, not the cause, of the impending event.</w:t>
      </w:r>
    </w:p>
    <w:p w:rsidR="003C3B2B" w:rsidRDefault="00AA4694" w:rsidP="006F1221">
      <w:pPr>
        <w:pStyle w:val="libNormal"/>
      </w:pPr>
      <w:r>
        <w:t xml:space="preserve">The Sunnis on the other hand say that Allah is the Creator of all our acts. </w:t>
      </w:r>
      <w:r w:rsidR="004724AA">
        <w:t>“</w:t>
      </w:r>
      <w:r>
        <w:t>No act of any individual, even though it is done purely for his benefit is independent of the will of Allah for its existence; and there does not occur in either physical or an extra terrestrial world the wink of an eye, the hint of a thought, or the most sudden glance, except by the degree of Allah . . . of His power, desire and will. This includes evil and good, benefit and harm, success and failure, sin and righteousness, obedience and disobedience, polytheism and belief.</w:t>
      </w:r>
      <w:r w:rsidR="004724AA">
        <w:t>”</w:t>
      </w:r>
      <w:r>
        <w:t xml:space="preserve"> </w:t>
      </w:r>
      <w:r w:rsidRPr="009126FD">
        <w:rPr>
          <w:rStyle w:val="libFootnotenumChar"/>
        </w:rPr>
        <w:t>3</w:t>
      </w:r>
    </w:p>
    <w:p w:rsidR="009126FD" w:rsidRDefault="009126FD" w:rsidP="009126FD">
      <w:pPr>
        <w:pStyle w:val="Heading2Center"/>
      </w:pPr>
      <w:bookmarkStart w:id="13" w:name="_Toc480368033"/>
      <w:r>
        <w:t>Notes</w:t>
      </w:r>
      <w:bookmarkEnd w:id="13"/>
    </w:p>
    <w:p w:rsidR="00AA4694" w:rsidRDefault="00AA4694" w:rsidP="009126FD">
      <w:pPr>
        <w:pStyle w:val="libFootnote"/>
      </w:pPr>
      <w:r>
        <w:lastRenderedPageBreak/>
        <w:t>1. Al-I’tiqadat.</w:t>
      </w:r>
    </w:p>
    <w:p w:rsidR="00AA4694" w:rsidRDefault="00AA4694" w:rsidP="009126FD">
      <w:pPr>
        <w:pStyle w:val="libFootnote"/>
      </w:pPr>
      <w:r>
        <w:t>2. Al-I’tiqadat</w:t>
      </w:r>
    </w:p>
    <w:p w:rsidR="00AA4694" w:rsidRDefault="00AA4694" w:rsidP="009126FD">
      <w:pPr>
        <w:pStyle w:val="libFootnote"/>
      </w:pPr>
      <w:r>
        <w:t>3. Al-Ghazali: as quoted in Shia of India, pg. 43</w:t>
      </w:r>
    </w:p>
    <w:p w:rsidR="00AA4694" w:rsidRDefault="00AA4694" w:rsidP="004E6F17">
      <w:pPr>
        <w:pStyle w:val="libNormal"/>
      </w:pPr>
      <w:r>
        <w:br w:type="page"/>
      </w:r>
    </w:p>
    <w:p w:rsidR="003C3B2B" w:rsidRDefault="00AA4694" w:rsidP="004E6F17">
      <w:pPr>
        <w:pStyle w:val="Heading1Center"/>
      </w:pPr>
      <w:bookmarkStart w:id="14" w:name="_Toc480368034"/>
      <w:r>
        <w:lastRenderedPageBreak/>
        <w:t>Prophethood</w:t>
      </w:r>
      <w:bookmarkEnd w:id="14"/>
    </w:p>
    <w:p w:rsidR="003C3B2B" w:rsidRDefault="00AA4694" w:rsidP="006F1221">
      <w:pPr>
        <w:pStyle w:val="libNormal"/>
      </w:pPr>
      <w:r>
        <w:t>Based upon their belief of lutf (Grace), the Shi’ahs believe that it is incumbent upon Allah to send Prophets or their successors to this world to guide people towards the right path. The Sunnis say that it is not incumbent upon Allah, because they do not accept necessity of lutf.</w:t>
      </w:r>
    </w:p>
    <w:p w:rsidR="00AA4694" w:rsidRDefault="00AA4694" w:rsidP="006F1221">
      <w:pPr>
        <w:pStyle w:val="libNormal"/>
      </w:pPr>
      <w:r>
        <w:t>The Shi’ahs and Sunnis in the first instance, and then the Sunnis among themselves, disagree about the theory of 'ismah (infallibility) of the Prophets.</w:t>
      </w:r>
    </w:p>
    <w:p w:rsidR="003C3B2B" w:rsidRDefault="00AA4694" w:rsidP="009126FD">
      <w:pPr>
        <w:pStyle w:val="Heading2Center"/>
      </w:pPr>
      <w:bookmarkStart w:id="15" w:name="_Toc480368035"/>
      <w:r>
        <w:t>Infallibility</w:t>
      </w:r>
      <w:bookmarkEnd w:id="15"/>
    </w:p>
    <w:p w:rsidR="003C3B2B" w:rsidRDefault="00AA4694" w:rsidP="006F1221">
      <w:pPr>
        <w:pStyle w:val="libNormal"/>
      </w:pPr>
      <w:r>
        <w:t>What is our conception of ‘ismah? It is lutf (grace) of Allah which helps a person to refrain from sins, without effecting in any way his will and power. A ma’sum (sinless) person has the power to commit sins; but he does not even think about sins because his spiritual standard is so high that such inferior things do not enter his mind.</w:t>
      </w:r>
    </w:p>
    <w:p w:rsidR="003C3B2B" w:rsidRDefault="00AA4694" w:rsidP="006F1221">
      <w:pPr>
        <w:pStyle w:val="libNormal"/>
      </w:pPr>
      <w:r>
        <w:t>The Sunnis do not speak with one voice upon this subject.</w:t>
      </w:r>
    </w:p>
    <w:p w:rsidR="003C3B2B" w:rsidRDefault="00AA4694" w:rsidP="006F1221">
      <w:pPr>
        <w:pStyle w:val="libNormal"/>
      </w:pPr>
      <w:r>
        <w:t>They first differ about the point when ‘ismah begins. Some say it is after the declaration of Prophethood; others say that it is since childhood.</w:t>
      </w:r>
    </w:p>
    <w:p w:rsidR="003C3B2B" w:rsidRDefault="00AA4694" w:rsidP="006F1221">
      <w:pPr>
        <w:pStyle w:val="libNormal"/>
      </w:pPr>
      <w:r>
        <w:t>Second Difference: The scope of ‘ismah before declaration of Prophethood: Some say that it covers all sins; majority say that they are protected from kufr (infidelity) only.</w:t>
      </w:r>
    </w:p>
    <w:p w:rsidR="003C3B2B" w:rsidRDefault="00AA4694" w:rsidP="006F1221">
      <w:pPr>
        <w:pStyle w:val="libNormal"/>
      </w:pPr>
      <w:r>
        <w:t>Third Difference: The scope of ‘ismah after declaration of Prophethood; it is agreed that the Prophets could not tell a lie after Prophethood. But what about other sins? Some say that they could commit other sins either intentionally or unintentionally; but the majority say that they could commit it unintentionally, but not intentionally.</w:t>
      </w:r>
    </w:p>
    <w:p w:rsidR="003C3B2B" w:rsidRDefault="00AA4694" w:rsidP="006F1221">
      <w:pPr>
        <w:pStyle w:val="libNormal"/>
      </w:pPr>
      <w:r>
        <w:t>Fourth Difference: About minor sins: They say it was possible for the prophets to commit minor sins, even intentionally. But that they were protected from such minor sins which might have degraded them in the esteem of people.</w:t>
      </w:r>
    </w:p>
    <w:p w:rsidR="00AA4694" w:rsidRDefault="00AA4694" w:rsidP="006F1221">
      <w:pPr>
        <w:pStyle w:val="libNormal"/>
      </w:pPr>
      <w:r>
        <w:t>The Shi'ah Ithna-‘asharis’ stand about ‘ismah is that all the Prophets were sinless and infallible; they could not commit any sin, whether major or minor, whether intentionally or unintentionally; and that they were ma’sum from the beginning of their life till their last breath.</w:t>
      </w:r>
    </w:p>
    <w:p w:rsidR="003C3B2B" w:rsidRDefault="00AA4694" w:rsidP="009126FD">
      <w:pPr>
        <w:pStyle w:val="Heading2Center"/>
      </w:pPr>
      <w:bookmarkStart w:id="16" w:name="_Toc480368036"/>
      <w:r>
        <w:t>The Prophets</w:t>
      </w:r>
      <w:bookmarkEnd w:id="16"/>
    </w:p>
    <w:p w:rsidR="003C3B2B" w:rsidRDefault="00AA4694" w:rsidP="006F1221">
      <w:pPr>
        <w:pStyle w:val="libNormal"/>
      </w:pPr>
      <w:r>
        <w:t>Ash-Shaykh as-Saduq says about Prophets that:</w:t>
      </w:r>
    </w:p>
    <w:p w:rsidR="00AA4694" w:rsidRDefault="004724AA" w:rsidP="006F1221">
      <w:pPr>
        <w:pStyle w:val="libNormal"/>
      </w:pPr>
      <w:r>
        <w:t>“</w:t>
      </w:r>
      <w:r w:rsidR="00AA4694">
        <w:t xml:space="preserve">Their word is the word of God, their order is the order of God, their forbidding is the forbidding by God . . . And that the Chiefs of the Prophets are five - and they are (called) </w:t>
      </w:r>
      <w:r>
        <w:t>“</w:t>
      </w:r>
      <w:r w:rsidR="00AA4694">
        <w:t>ulul `azm</w:t>
      </w:r>
      <w:r>
        <w:t>”</w:t>
      </w:r>
      <w:r w:rsidR="00AA4694">
        <w:t xml:space="preserve"> - and they are Noah, Abraham, Moses, Jesus and Muhammad (be blessings of Allah upon them all) and that Muhammad is their Chief and best of all.</w:t>
      </w:r>
      <w:r>
        <w:t>”</w:t>
      </w:r>
    </w:p>
    <w:p w:rsidR="003C3B2B" w:rsidRDefault="00AA4694" w:rsidP="009126FD">
      <w:pPr>
        <w:pStyle w:val="Heading2Center"/>
      </w:pPr>
      <w:bookmarkStart w:id="17" w:name="_Toc480368037"/>
      <w:r>
        <w:t>Imams</w:t>
      </w:r>
      <w:bookmarkEnd w:id="17"/>
    </w:p>
    <w:p w:rsidR="003C3B2B" w:rsidRDefault="00AA4694" w:rsidP="006F1221">
      <w:pPr>
        <w:pStyle w:val="libNormal"/>
      </w:pPr>
      <w:r>
        <w:t>The Shi'ahs say that Imam must be appointed by God; that appointment - may be known through the declaration of the Prophet or the preceding Imam.</w:t>
      </w:r>
    </w:p>
    <w:p w:rsidR="003C3B2B" w:rsidRDefault="00AA4694" w:rsidP="006F1221">
      <w:pPr>
        <w:pStyle w:val="libNormal"/>
      </w:pPr>
      <w:r>
        <w:t xml:space="preserve">The Sunnis say that Imam (or Caliph, as they prefer to say) can be either elected, or nominated by the preceding caliph, or selected by a committee, </w:t>
      </w:r>
      <w:r>
        <w:lastRenderedPageBreak/>
        <w:t>or may acquire power through a military coup. If he is elected, it is enough that one man should do bay’ah (allegiance) to him.</w:t>
      </w:r>
    </w:p>
    <w:p w:rsidR="003C3B2B" w:rsidRDefault="00AA4694" w:rsidP="006F1221">
      <w:pPr>
        <w:pStyle w:val="libNormal"/>
      </w:pPr>
      <w:r>
        <w:t>The Shi’ahs say: That Imam must be ma’sum (sinless).</w:t>
      </w:r>
    </w:p>
    <w:p w:rsidR="003C3B2B" w:rsidRDefault="00AA4694" w:rsidP="006F1221">
      <w:pPr>
        <w:pStyle w:val="libNormal"/>
      </w:pPr>
      <w:r>
        <w:t>The Sunnis say (including the Mu’tazilites) that ‘ismah is not a condition for caliphate. Even if he is a tyrant and has sunk himself in sins, Hanbalites, Shafi’ites and Malikites forbid people to rise against that caliph. They say that they should preserve.</w:t>
      </w:r>
    </w:p>
    <w:p w:rsidR="003C3B2B" w:rsidRDefault="00AA4694" w:rsidP="006F1221">
      <w:pPr>
        <w:pStyle w:val="libNormal"/>
      </w:pPr>
      <w:r>
        <w:t>The Shi’ahs say that Imam must possess above all such qualities as knowledge, bravery, justice, wisdom, piety, love of God etc. The Sunnis say it is not necessary. A person inferior in these qualities may be elected in preference to a person having all these qualities of superior degree.</w:t>
      </w:r>
    </w:p>
    <w:p w:rsidR="00AA4694" w:rsidRDefault="00AA4694" w:rsidP="006F1221">
      <w:pPr>
        <w:pStyle w:val="libNormal"/>
      </w:pPr>
      <w:r>
        <w:t>The Shi’ahs say that ‘Ali was appointed by Allah to be the successor of the Prophet, and that the Prophet declared it on several occasions. The Sunnis say that the Prophet did not appoint anybody to be his successor.</w:t>
      </w:r>
    </w:p>
    <w:p w:rsidR="003C3B2B" w:rsidRDefault="00AA4694" w:rsidP="004E6F17">
      <w:pPr>
        <w:pStyle w:val="libNormal"/>
      </w:pPr>
      <w:r>
        <w:br w:type="page"/>
      </w:r>
    </w:p>
    <w:p w:rsidR="00413479" w:rsidRDefault="00413479"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p>
    <w:p w:rsidR="0011627E" w:rsidRDefault="0011627E" w:rsidP="009126FD">
      <w:pPr>
        <w:pStyle w:val="libCenterBold1"/>
      </w:pPr>
      <w:hyperlink r:id="rId10" w:history="1">
        <w:r w:rsidRPr="00AE0A1C">
          <w:rPr>
            <w:rStyle w:val="Hyperlink"/>
          </w:rPr>
          <w:t>www.alhassanain.org/english</w:t>
        </w:r>
      </w:hyperlink>
    </w:p>
    <w:sectPr w:rsidR="0011627E"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87B" w:rsidRDefault="002E287B" w:rsidP="00113C59">
      <w:r>
        <w:separator/>
      </w:r>
    </w:p>
  </w:endnote>
  <w:endnote w:type="continuationSeparator" w:id="0">
    <w:p w:rsidR="002E287B" w:rsidRDefault="002E287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64C42" w:rsidP="00745C1D">
    <w:pPr>
      <w:pStyle w:val="Footer"/>
      <w:tabs>
        <w:tab w:val="clear" w:pos="4153"/>
        <w:tab w:val="clear" w:pos="8306"/>
      </w:tabs>
    </w:pPr>
    <w:fldSimple w:instr=" PAGE   \* MERGEFORMAT ">
      <w:r w:rsidR="0046001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2B" w:rsidRDefault="00064C42" w:rsidP="00113C59">
    <w:pPr>
      <w:pStyle w:val="Footer"/>
    </w:pPr>
    <w:fldSimple w:instr=" PAGE   \* MERGEFORMAT ">
      <w:r w:rsidR="0046001C">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64C42" w:rsidP="00745C1D">
    <w:pPr>
      <w:pStyle w:val="Footer"/>
      <w:tabs>
        <w:tab w:val="clear" w:pos="4153"/>
        <w:tab w:val="clear" w:pos="8306"/>
      </w:tabs>
    </w:pPr>
    <w:fldSimple w:instr=" PAGE   \* MERGEFORMAT ">
      <w:r w:rsidR="0046001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87B" w:rsidRDefault="002E287B" w:rsidP="00113C59">
      <w:r>
        <w:separator/>
      </w:r>
    </w:p>
  </w:footnote>
  <w:footnote w:type="continuationSeparator" w:id="0">
    <w:p w:rsidR="002E287B" w:rsidRDefault="002E287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451A4"/>
    <w:rsid w:val="00005A19"/>
    <w:rsid w:val="000267FE"/>
    <w:rsid w:val="00040798"/>
    <w:rsid w:val="00043023"/>
    <w:rsid w:val="00054406"/>
    <w:rsid w:val="0006216A"/>
    <w:rsid w:val="00064C42"/>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7E"/>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37DF"/>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51A4"/>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87B"/>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3B2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4D2"/>
    <w:rsid w:val="00455A59"/>
    <w:rsid w:val="0046001C"/>
    <w:rsid w:val="0046634E"/>
    <w:rsid w:val="00467E54"/>
    <w:rsid w:val="00470378"/>
    <w:rsid w:val="004722F9"/>
    <w:rsid w:val="004724AA"/>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41B5"/>
    <w:rsid w:val="004E6E95"/>
    <w:rsid w:val="004E6F17"/>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1221"/>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26FD"/>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3901"/>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4694"/>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5B62"/>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B3A"/>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C3B2B"/>
    <w:rPr>
      <w:rFonts w:ascii="Tahoma" w:hAnsi="Tahoma" w:cs="Tahoma"/>
      <w:sz w:val="16"/>
      <w:szCs w:val="16"/>
    </w:rPr>
  </w:style>
  <w:style w:type="character" w:customStyle="1" w:styleId="DocumentMapChar">
    <w:name w:val="Document Map Char"/>
    <w:basedOn w:val="DefaultParagraphFont"/>
    <w:link w:val="DocumentMap"/>
    <w:rsid w:val="003C3B2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466820860">
      <w:bodyDiv w:val="1"/>
      <w:marLeft w:val="0"/>
      <w:marRight w:val="0"/>
      <w:marTop w:val="0"/>
      <w:marBottom w:val="0"/>
      <w:divBdr>
        <w:top w:val="none" w:sz="0" w:space="0" w:color="auto"/>
        <w:left w:val="none" w:sz="0" w:space="0" w:color="auto"/>
        <w:bottom w:val="none" w:sz="0" w:space="0" w:color="auto"/>
        <w:right w:val="none" w:sz="0" w:space="0" w:color="auto"/>
      </w:divBdr>
      <w:divsChild>
        <w:div w:id="1499536774">
          <w:marLeft w:val="0"/>
          <w:marRight w:val="0"/>
          <w:marTop w:val="0"/>
          <w:marBottom w:val="0"/>
          <w:divBdr>
            <w:top w:val="none" w:sz="0" w:space="0" w:color="auto"/>
            <w:left w:val="none" w:sz="0" w:space="0" w:color="auto"/>
            <w:bottom w:val="none" w:sz="0" w:space="0" w:color="auto"/>
            <w:right w:val="none" w:sz="0" w:space="0" w:color="auto"/>
          </w:divBdr>
          <w:divsChild>
            <w:div w:id="984771841">
              <w:marLeft w:val="0"/>
              <w:marRight w:val="0"/>
              <w:marTop w:val="0"/>
              <w:marBottom w:val="0"/>
              <w:divBdr>
                <w:top w:val="none" w:sz="0" w:space="0" w:color="auto"/>
                <w:left w:val="none" w:sz="0" w:space="0" w:color="auto"/>
                <w:bottom w:val="none" w:sz="0" w:space="0" w:color="auto"/>
                <w:right w:val="none" w:sz="0" w:space="0" w:color="auto"/>
              </w:divBdr>
              <w:divsChild>
                <w:div w:id="175583080">
                  <w:marLeft w:val="0"/>
                  <w:marRight w:val="0"/>
                  <w:marTop w:val="0"/>
                  <w:marBottom w:val="0"/>
                  <w:divBdr>
                    <w:top w:val="none" w:sz="0" w:space="0" w:color="auto"/>
                    <w:left w:val="none" w:sz="0" w:space="0" w:color="auto"/>
                    <w:bottom w:val="none" w:sz="0" w:space="0" w:color="auto"/>
                    <w:right w:val="none" w:sz="0" w:space="0" w:color="auto"/>
                  </w:divBdr>
                  <w:divsChild>
                    <w:div w:id="958103434">
                      <w:marLeft w:val="0"/>
                      <w:marRight w:val="0"/>
                      <w:marTop w:val="0"/>
                      <w:marBottom w:val="0"/>
                      <w:divBdr>
                        <w:top w:val="none" w:sz="0" w:space="0" w:color="auto"/>
                        <w:left w:val="none" w:sz="0" w:space="0" w:color="auto"/>
                        <w:bottom w:val="none" w:sz="0" w:space="0" w:color="auto"/>
                        <w:right w:val="none" w:sz="0" w:space="0" w:color="auto"/>
                      </w:divBdr>
                      <w:divsChild>
                        <w:div w:id="685249802">
                          <w:marLeft w:val="0"/>
                          <w:marRight w:val="0"/>
                          <w:marTop w:val="0"/>
                          <w:marBottom w:val="0"/>
                          <w:divBdr>
                            <w:top w:val="none" w:sz="0" w:space="0" w:color="auto"/>
                            <w:left w:val="none" w:sz="0" w:space="0" w:color="auto"/>
                            <w:bottom w:val="none" w:sz="0" w:space="0" w:color="auto"/>
                            <w:right w:val="none" w:sz="0" w:space="0" w:color="auto"/>
                          </w:divBdr>
                          <w:divsChild>
                            <w:div w:id="5682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B814-8F91-4343-AAB8-C0C69AB3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TotalTime>
  <Pages>16</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11</cp:revision>
  <cp:lastPrinted>1601-01-01T00:00:00Z</cp:lastPrinted>
  <dcterms:created xsi:type="dcterms:W3CDTF">2017-04-19T04:57:00Z</dcterms:created>
  <dcterms:modified xsi:type="dcterms:W3CDTF">2017-04-19T07:55:00Z</dcterms:modified>
</cp:coreProperties>
</file>